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 по основной образовательной программе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иностранными гражданами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федерального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средств бюджетов субъектов Российской Федерации, местных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623 (в том числе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иностранными гражданами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6"/>
      </w:pP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численности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адаптированной образовательной программе для детей с ТНР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федерального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средств бюджетов субъектов Российской Федерации, местных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численности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адаптированной образоват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ельной программе для детей с ЗПР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(в том числе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федерального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средств бюджетов субъектов Российской Федерации, местных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(в том числе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численности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адаптированной образоват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ельной программе для 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b/>
          <w:color w:val="0b1f33"/>
          <w:sz w:val="24"/>
          <w:szCs w:val="24"/>
          <w:highlight w:val="white"/>
        </w:rPr>
        <w:t xml:space="preserve">нарушением слуха ( перенесших операцию по кохлеарной имплантации)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бюджетных ассигнований федерального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за счет средств бюджетов субъектов Российской Федерации, местных бюджетов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(в том числе численность обучающихся, являющихся иностранными гражданами - 0)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t xml:space="preserve">В соответствии с п.2 ст.14 гл.2 Федерального Закона «Об образовании в Российской Федерации» от 29.12.2012 г. № 273-ФЗ образовательная деятельность в МБДОУ детский сад «Город детства» осуществляется на государственном языке Российской федерации (русском). 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2025-02-04T11:56:00Z</dcterms:created>
  <dcterms:modified xsi:type="dcterms:W3CDTF">2025-02-12T07:12:38Z</dcterms:modified>
</cp:coreProperties>
</file>