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к письму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от____________№_________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  <w:t xml:space="preserve">Информация о региональных мерах поддержки </w:t>
      </w:r>
      <w:r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line="240" w:lineRule="auto"/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 w:val="0"/>
          <w:bCs w:val="0"/>
          <w:color w:val="000000"/>
          <w:sz w:val="28"/>
          <w:szCs w:val="28"/>
          <w:highlight w:val="none"/>
        </w:rPr>
        <w:t xml:space="preserve">участников специальной военной операции и членов их семей</w:t>
      </w:r>
      <w:r/>
      <w:r/>
    </w:p>
    <w:p>
      <w:pPr>
        <w:contextualSpacing/>
        <w:ind w:firstLine="709"/>
        <w:jc w:val="both"/>
        <w:spacing w:after="0" w:line="336" w:lineRule="auto"/>
        <w:rPr>
          <w:rFonts w:ascii="Times New Roman" w:hAnsi="Times New Roman" w:eastAsia="Times New Roman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contextualSpacing/>
        <w:ind w:firstLine="709"/>
        <w:jc w:val="both"/>
        <w:spacing w:after="0" w:line="336" w:lineRule="auto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Ханты-Мансийском автономном округе – Югре </w:t>
        <w:br/>
        <w:t xml:space="preserve">(далее – ав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тономный округ) реализуется комплекс мер социальной поддержки граждан, участвующих в специальной военной операции, и их семей. Меры поддержки систематизированы в единый нормативный правовой акт</w:t>
      </w:r>
      <w:r>
        <w:rPr>
          <w:rStyle w:val="1021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определяющий порядок и виды социальной поддержки, что позволило повысить</w:t>
      </w:r>
      <w:r>
        <w:rPr>
          <w:rFonts w:ascii="Times New Roman" w:hAnsi="Times New Roman" w:eastAsia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их доступность. Меры поддержки предоставляются как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беззаявительном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порядке, так и посредством обращений граждан через Единый портал государственных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муниципальных услуг или личного обращения в уполномоченные органы автономного округа.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Денежные выплаты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предоставляются гражданам: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1) при заключении контракта о прохождении военной службы </w:t>
        <w:br/>
        <w:t xml:space="preserve">в Вооруженных Силах Российской Федерации через Военный комиссариат автономного округа или Пункт отбора на военную службу по контракту </w:t>
        <w:br/>
        <w:t xml:space="preserve">3 разряда, г. Ханты-Мансийск.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Для указанных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установлена возможность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по выбору получить поддержку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(по одному из вариантов)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400 000 рублей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– при заключении гражданином контракта </w:t>
        <w:br/>
        <w:t xml:space="preserve">о прохождении военной службы и направлении для выполнении задач </w:t>
        <w:br/>
        <w:t xml:space="preserve">в ходе специальной военной операции, а также 150 000 рублей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каждый первый месяц двухмесячного периода прохождения военной службы </w:t>
        <w:br/>
        <w:t xml:space="preserve">для выполнения задач специальной военной операции, но не ранее истечени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я двухмесячного периода со дня получения последней такой выплаты;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1 300 000 рублей единовременно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(годовой объем поддержки) – </w:t>
        <w:br/>
        <w:t xml:space="preserve">при заключении контракта о прохождении военной службы в период после </w:t>
        <w:br/>
        <w:t xml:space="preserve">31 июля 2024 года по 31 декабря 202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5 года. При этом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по истечении </w:t>
        <w:br/>
        <w:t xml:space="preserve">12 месяцев с даты заключения контракта о прохождении военной службы устанавливается денежная выплата в размере 150 000 рублей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каждый первый месяц двухмесячного периода прохождения военной службы </w:t>
        <w:br/>
        <w:t xml:space="preserve">для выполнения задач специальной военной операции но не ранее истеч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ения двухмесячного периода со дня получения последней такой выплаты;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2 200 000 рублей единовременно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(двухгодичный объем </w:t>
        <w:br/>
        <w:t xml:space="preserve">поддержки)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заключении контракта о прохождении военной службы </w:t>
        <w:br/>
        <w:t xml:space="preserve">в период после 30 сентября 2024 года по 31 декабря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2025 года. При этом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  <w:br/>
        <w:t xml:space="preserve">по истечении 24 месяцев с даты заключения контракта о прохождении военной слу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жбы устанавливается денежная выплата в размере </w:t>
        <w:br/>
        <w:t xml:space="preserve">150 000 рублей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каждый первый месяц двухмесячного периода прохождения военной службы для выполнения задач специальной военной операции, но н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 ранее истеч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ения двухмесячного периода со дня получения последней такой выплаты;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при призыве на военную службу 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Вооруженные Силы Российской Федераци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 по частичной мобили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в размере 400 000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3)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при заключении контракта о добровольном содействии </w:t>
        <w:br/>
        <w:t xml:space="preserve">в выполнении задач, возложенных на Вооруженные Силы Российской Федерации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, в размере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400 000 рублей;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4) при направлении для выполнения служебно-боевых задач в зоне проведения специальной военной операции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военнослужащим </w:t>
        <w:br/>
        <w:t xml:space="preserve">и сотрудникам федеральных органов исполнительной власти </w:t>
        <w:br/>
        <w:t xml:space="preserve">и федеральных государственных органов, в которых федеральным законом предусмотрена военная служба, сотрудникам органов внутренних </w:t>
        <w:br/>
        <w:t xml:space="preserve">дел Российской Федерации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в размере 400 000 рублей.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При увольнении с военной службы гражданам,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заключившим контракт о прохождении военной службы в Вооруженных Силах Российской Федерации через Военный комиссариат автономного округа или Пункт отбора на военную службу по контракту 3 разряда, </w:t>
        <w:br/>
        <w:t xml:space="preserve">г. Ханты-Мансийск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, гражданам, призванным на военную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Вооруженные Силы Российской Федераци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и по частичной мобили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зации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, гражданам, заключившим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контракт о добровольном содействии в выполнении задач, возложенных на Вооруженные Силы Российской Федерации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, осуществляется денежная выплата в размере 100 000 рублей.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highlight w:val="none"/>
          <w:lang w:eastAsia="en-US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мпенсируются расходы на оплату стоимости проезда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от места жительства (пребывания) на территории Российской Федерации, иностранного государства к месту поступления в автономном округе </w:t>
        <w:br/>
        <w:t xml:space="preserve">на военную службу по контракту в Вооруженные Силы Российской Федерации.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ранения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(контузии, травмы, увечья) в ходе специальной военной операции осуществляется денежная выплата в размере </w:t>
        <w:br/>
        <w:t xml:space="preserve">500 000 рублей.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тяжелом ранении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(контузии, травме, увечье)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оказывается дополнительная единовременная материальная помощь </w:t>
        <w:br/>
        <w:t xml:space="preserve">в размере 250 000 рублей на реабилитацию.</w:t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ри награждении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 при участии в специальной военной операции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наградами, входящими в государственную наградную систему Российской Федерации, осуществляется денежная выплата в размере 100 000 рублей.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На проезд от места прохождения военной службы, пребывания </w:t>
        <w:br/>
        <w:t xml:space="preserve">в добровольческом формировании к месту использования отпуска (отдыха) </w:t>
        <w:br/>
        <w:t xml:space="preserve">в автономном округе и обратно предусмотрена беззаявительная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материальная помощь в размере 25 000 рублей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144" w:firstLine="709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Семьям граждан Российской Федерации, принимающих участие </w:t>
        <w:br/>
        <w:t xml:space="preserve">в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специальной военной операции, граждан Российской Федерации, призванных на военную службу по частичной мобилизации </w:t>
        <w:br/>
        <w:t xml:space="preserve">в Вооруженные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Силы Российской Федерации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,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 осуществляется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компенсация расходов на оплату жилого помещения и коммунальных услуг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(максимальный размер выплаты в месяц – 5 000 рублей).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144" w:firstLine="709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Денежная выплата в размере 24 480 рублей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 установлена на детей, </w:t>
        <w:br/>
        <w:t xml:space="preserve">в отношении которых осуществляется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уплата алиментных обязательств мобилизованными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 гражданами, ежемесячно в период прохождения </w:t>
        <w:br/>
        <w:t xml:space="preserve">ими военной службы, но не более 12 месяцев, в размере 2 040 рублей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8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Денежная выплата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размере 100 000 рублей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предоставляется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семьям, имеющим детей, поступающих на обучения по образовательным программам среднего профессионального образования, высшего образования (программам бакалавриата, специалитета), один из родителей которых или оба при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нимают (принимали) участие в специальной военной операции.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</w:r>
      <w:r>
        <w:rPr>
          <w:rFonts w:ascii="Times New Roman" w:hAnsi="Times New Roman" w:eastAsia="Calibri" w:cs="Times New Roman"/>
          <w:b w:val="0"/>
          <w:bCs w:val="0"/>
          <w:color w:val="auto"/>
          <w:sz w:val="28"/>
          <w:szCs w:val="28"/>
          <w:lang w:eastAsia="en-US"/>
        </w:rPr>
        <w:t xml:space="preserve">В случае гибели, смерти, признания безвестно отсутствующим </w:t>
        <w:br/>
        <w:t xml:space="preserve">или объявления умершими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граждан в ходе участия в специальной военной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операции их семьям осуществляется денежная выплата в размерах: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709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3 000 000 рублей – в равных долях на каждого члена семьи, проживающего в автономном округе,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 также членам семей участников специальной военной операции, имевших на день гибели (смерти) место жительства в автономном округе, зарегистрированным по месту жительства в Тюменской области или Ямало-Ненецком автономном округе, в том числе на день гибели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(смерти) указанных лиц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left="0" w:right="0" w:firstLine="54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200 000 рублей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– на каждого члена семьи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зарегистрированного по месту жительства в ином субъекте Российской Федерации, за исключением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Тюменской области и Ямало-Ненецкого автономного округа, имевшего </w:t>
        <w:br/>
        <w:t xml:space="preserve">на день гибели (смерти) место житель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ства в автономном округе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январе 2025 года установлена материальная помощь членам семей мобилизованных граждан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 проезд от места жительства (пребывания) </w:t>
        <w:br/>
        <w:t xml:space="preserve">в автономном округе к месту использования отпуска мобилизованным гражданином и обратно в размере 25 000 рублей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семей участников специальной военной операции, имеющих детей, гарантировано: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бесплатное двухразовое горячее питание детей участников специальной военной операции в учебное время по месту нахождения образовательной организации;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компенсация фактически понесенных затрат по оплате родительской платы за присмотр и уход за ребенком (детьми) участников специал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ьной военной операции в организациях, осуществляющих образовательную деятельность по реализации образовательной программы дошкольного образования</w:t>
      </w:r>
      <w:r>
        <w:rPr>
          <w:rFonts w:ascii="Times New Roman" w:hAnsi="Times New Roman" w:eastAsia="Times New Roman"/>
          <w:sz w:val="28"/>
          <w:szCs w:val="28"/>
        </w:rPr>
        <w:t xml:space="preserve">;</w:t>
      </w:r>
      <w:r>
        <w:rPr>
          <w:rFonts w:ascii="Times New Roman" w:hAnsi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освобождение от взимания родительской платы за присмотр и уход </w:t>
        <w:br/>
        <w:t xml:space="preserve">за детьми в организациях, осуществляющих образовательную деятельность по реализации образовательной программы дошкольного образования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(мера поддержки введена в 2024 году</w:t>
      </w:r>
      <w:r>
        <w:rPr>
          <w:rStyle w:val="1021"/>
          <w:rFonts w:ascii="Times New Roman" w:hAnsi="Times New Roman" w:eastAsia="Times New Roman" w:cs="Times New Roman"/>
          <w:color w:val="000000"/>
          <w:sz w:val="28"/>
          <w:szCs w:val="28"/>
        </w:rPr>
        <w:footnoteReference w:id="3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Указанная категория граждан также имеет право на получение бесплатной юридической помощи, освобождение от уплаты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транспортного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налога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зависимости от вида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транспортного средства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отсрочку внесения платы по договорам аренды государственного имущества автономного округа и (или) земельных участков, находящихся в государственной собственности автономного округа или государственная собственность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которые не разграничена, расторжение договора аренды </w:t>
        <w:br/>
        <w:t xml:space="preserve">или односторонний отказ от исполнения указанного договора </w:t>
        <w:br/>
        <w:t xml:space="preserve">без применения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штрафных санкций, освобождение граждан от начисления пени, штрафов, неустойки, иных санкций за просрочку платежей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 договорам купли-продажи жилых помещений, находящихся в залоге автономного округа, освобождение от начисления пеней в случае несвоевременного и (или) неполного внесения платы за жилое помещение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  <w:br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 коммунальные услуги, взноса на капитальный ремонт общего имущества.</w:t>
      </w:r>
      <w:r>
        <w:rPr>
          <w:rFonts w:ascii="Times New Roman" w:hAnsi="Times New Roman" w:eastAsia="Times New Roman"/>
          <w:sz w:val="28"/>
          <w:szCs w:val="28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continuous"/>
      <w:pgSz w:w="11900" w:h="16820" w:orient="portrait"/>
      <w:pgMar w:top="1417" w:right="1276" w:bottom="1134" w:left="1559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Wingdings">
    <w:panose1 w:val="05000000000000000000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019"/>
        <w:jc w:val="both"/>
        <w:rPr>
          <w:rFonts w:ascii="Times New Roman" w:hAnsi="Times New Roman" w:cs="Times New Roman"/>
        </w:rPr>
      </w:pPr>
      <w:r>
        <w:rPr>
          <w:rStyle w:val="1021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br/>
        <w:t xml:space="preserve">от 10 февраля 2023 года № 51-п «О едином перечне прав, льгот, социальных гарантий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компенсаций в Ханты-Мансийском автономном округе – Югре гражданам, принимающим участие в специальной военной операции, и членам их семей».</w:t>
      </w:r>
      <w:r>
        <w:rPr>
          <w:rFonts w:ascii="Times New Roman" w:hAnsi="Times New Roman" w:cs="Times New Roman"/>
        </w:rPr>
      </w:r>
      <w:r/>
    </w:p>
  </w:footnote>
  <w:footnote w:id="3">
    <w:p>
      <w:pPr>
        <w:jc w:val="both"/>
        <w:spacing w:after="0" w:line="288" w:lineRule="atLeast"/>
        <w:rPr>
          <w:rFonts w:ascii="Times New Roman" w:hAnsi="Times New Roman" w:eastAsia="Times New Roman" w:cs="Times New Roman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21"/>
        </w:rPr>
        <w:footnoteRef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Постановление Правительства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Ханты-Мансийского автономного округа – Югры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от 2 декабря 2024 года № 449-п «О внесении изменений в постановление Правительства Ханты-Мансийского автономного округа - Югры от 10 февраля 2023 года № 51-п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«О едином перечне прав, льгот, социальных гарантий и компенсаций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в Ханты-Мансийском автономном округе – Югре гражданам, принимающим участие </w:t>
      </w:r>
      <w:r>
        <w:rPr>
          <w:rFonts w:ascii="Times New Roman" w:hAnsi="Times New Roman" w:eastAsia="Times New Roman" w:cs="Times New Roman"/>
          <w:color w:val="000000"/>
          <w:sz w:val="24"/>
        </w:rPr>
        <w:br/>
        <w:t xml:space="preserve">в специальной военной операции, и членам их семей»</w:t>
      </w:r>
      <w:r>
        <w:rPr>
          <w:rFonts w:ascii="Times New Roman" w:hAnsi="Times New Roman" w:eastAsia="Times New Roman" w:cs="Times New Roman"/>
          <w:sz w:val="24"/>
        </w:rPr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2847" w:hanging="720"/>
        <w:tabs>
          <w:tab w:val="num" w:pos="2847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1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1" w:default="1">
    <w:name w:val="Normal"/>
    <w:qFormat/>
  </w:style>
  <w:style w:type="paragraph" w:styleId="842">
    <w:name w:val="Heading 1"/>
    <w:basedOn w:val="841"/>
    <w:next w:val="841"/>
    <w:link w:val="87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43">
    <w:name w:val="Heading 2"/>
    <w:basedOn w:val="841"/>
    <w:next w:val="841"/>
    <w:link w:val="8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4">
    <w:name w:val="Heading 3"/>
    <w:basedOn w:val="841"/>
    <w:next w:val="841"/>
    <w:link w:val="8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841"/>
    <w:next w:val="841"/>
    <w:link w:val="874"/>
    <w:qFormat/>
    <w:pPr>
      <w:jc w:val="right"/>
      <w:keepNext/>
      <w:outlineLvl w:val="3"/>
    </w:pPr>
    <w:rPr>
      <w:sz w:val="24"/>
    </w:rPr>
  </w:style>
  <w:style w:type="paragraph" w:styleId="846">
    <w:name w:val="Heading 5"/>
    <w:basedOn w:val="841"/>
    <w:next w:val="841"/>
    <w:link w:val="8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841"/>
    <w:next w:val="841"/>
    <w:link w:val="8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841"/>
    <w:next w:val="841"/>
    <w:link w:val="8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841"/>
    <w:next w:val="841"/>
    <w:link w:val="8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841"/>
    <w:next w:val="841"/>
    <w:link w:val="8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 w:customStyle="1">
    <w:name w:val="Heading 1 Char"/>
    <w:basedOn w:val="851"/>
    <w:uiPriority w:val="9"/>
    <w:rPr>
      <w:rFonts w:ascii="Arial" w:hAnsi="Arial" w:eastAsia="Arial" w:cs="Arial"/>
      <w:sz w:val="40"/>
      <w:szCs w:val="40"/>
    </w:rPr>
  </w:style>
  <w:style w:type="character" w:styleId="855" w:customStyle="1">
    <w:name w:val="Heading 2 Char"/>
    <w:basedOn w:val="851"/>
    <w:uiPriority w:val="9"/>
    <w:rPr>
      <w:rFonts w:ascii="Arial" w:hAnsi="Arial" w:eastAsia="Arial" w:cs="Arial"/>
      <w:sz w:val="34"/>
    </w:rPr>
  </w:style>
  <w:style w:type="character" w:styleId="856" w:customStyle="1">
    <w:name w:val="Heading 3 Char"/>
    <w:basedOn w:val="851"/>
    <w:uiPriority w:val="9"/>
    <w:rPr>
      <w:rFonts w:ascii="Arial" w:hAnsi="Arial" w:eastAsia="Arial" w:cs="Arial"/>
      <w:sz w:val="30"/>
      <w:szCs w:val="30"/>
    </w:rPr>
  </w:style>
  <w:style w:type="character" w:styleId="857" w:customStyle="1">
    <w:name w:val="Heading 4 Char"/>
    <w:basedOn w:val="851"/>
    <w:uiPriority w:val="9"/>
    <w:rPr>
      <w:rFonts w:ascii="Arial" w:hAnsi="Arial" w:eastAsia="Arial" w:cs="Arial"/>
      <w:b/>
      <w:bCs/>
      <w:sz w:val="26"/>
      <w:szCs w:val="26"/>
    </w:rPr>
  </w:style>
  <w:style w:type="character" w:styleId="858" w:customStyle="1">
    <w:name w:val="Heading 5 Char"/>
    <w:basedOn w:val="851"/>
    <w:uiPriority w:val="9"/>
    <w:rPr>
      <w:rFonts w:ascii="Arial" w:hAnsi="Arial" w:eastAsia="Arial" w:cs="Arial"/>
      <w:b/>
      <w:bCs/>
      <w:sz w:val="24"/>
      <w:szCs w:val="24"/>
    </w:rPr>
  </w:style>
  <w:style w:type="character" w:styleId="859" w:customStyle="1">
    <w:name w:val="Heading 6 Char"/>
    <w:basedOn w:val="851"/>
    <w:uiPriority w:val="9"/>
    <w:rPr>
      <w:rFonts w:ascii="Arial" w:hAnsi="Arial" w:eastAsia="Arial" w:cs="Arial"/>
      <w:b/>
      <w:bCs/>
      <w:sz w:val="22"/>
      <w:szCs w:val="22"/>
    </w:rPr>
  </w:style>
  <w:style w:type="character" w:styleId="860" w:customStyle="1">
    <w:name w:val="Heading 7 Char"/>
    <w:basedOn w:val="8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Heading 8 Char"/>
    <w:basedOn w:val="851"/>
    <w:uiPriority w:val="9"/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Heading 9 Char"/>
    <w:basedOn w:val="851"/>
    <w:uiPriority w:val="9"/>
    <w:rPr>
      <w:rFonts w:ascii="Arial" w:hAnsi="Arial" w:eastAsia="Arial" w:cs="Arial"/>
      <w:i/>
      <w:iCs/>
      <w:sz w:val="21"/>
      <w:szCs w:val="21"/>
    </w:rPr>
  </w:style>
  <w:style w:type="character" w:styleId="863" w:customStyle="1">
    <w:name w:val="Title Char"/>
    <w:basedOn w:val="851"/>
    <w:uiPriority w:val="10"/>
    <w:rPr>
      <w:sz w:val="48"/>
      <w:szCs w:val="48"/>
    </w:rPr>
  </w:style>
  <w:style w:type="character" w:styleId="864" w:customStyle="1">
    <w:name w:val="Subtitle Char"/>
    <w:basedOn w:val="851"/>
    <w:uiPriority w:val="11"/>
    <w:rPr>
      <w:sz w:val="24"/>
      <w:szCs w:val="24"/>
    </w:rPr>
  </w:style>
  <w:style w:type="character" w:styleId="865" w:customStyle="1">
    <w:name w:val="Quote Char"/>
    <w:uiPriority w:val="29"/>
    <w:rPr>
      <w:i/>
    </w:rPr>
  </w:style>
  <w:style w:type="character" w:styleId="866" w:customStyle="1">
    <w:name w:val="Intense Quote Char"/>
    <w:uiPriority w:val="30"/>
    <w:rPr>
      <w:i/>
    </w:rPr>
  </w:style>
  <w:style w:type="character" w:styleId="867" w:customStyle="1">
    <w:name w:val="Header Char"/>
    <w:basedOn w:val="851"/>
    <w:uiPriority w:val="99"/>
  </w:style>
  <w:style w:type="character" w:styleId="868" w:customStyle="1">
    <w:name w:val="Caption Char"/>
    <w:uiPriority w:val="99"/>
  </w:style>
  <w:style w:type="character" w:styleId="869" w:customStyle="1">
    <w:name w:val="Footnote Text Char"/>
    <w:uiPriority w:val="99"/>
    <w:rPr>
      <w:sz w:val="18"/>
    </w:rPr>
  </w:style>
  <w:style w:type="character" w:styleId="870" w:customStyle="1">
    <w:name w:val="Endnote Text Char"/>
    <w:uiPriority w:val="99"/>
    <w:rPr>
      <w:sz w:val="20"/>
    </w:rPr>
  </w:style>
  <w:style w:type="character" w:styleId="871" w:customStyle="1">
    <w:name w:val="Заголовок 1 Знак"/>
    <w:basedOn w:val="851"/>
    <w:link w:val="842"/>
    <w:uiPriority w:val="9"/>
    <w:rPr>
      <w:rFonts w:ascii="Arial" w:hAnsi="Arial" w:eastAsia="Arial" w:cs="Arial"/>
      <w:sz w:val="40"/>
      <w:szCs w:val="40"/>
    </w:rPr>
  </w:style>
  <w:style w:type="character" w:styleId="872" w:customStyle="1">
    <w:name w:val="Заголовок 2 Знак"/>
    <w:basedOn w:val="851"/>
    <w:link w:val="843"/>
    <w:uiPriority w:val="9"/>
    <w:rPr>
      <w:rFonts w:ascii="Arial" w:hAnsi="Arial" w:eastAsia="Arial" w:cs="Arial"/>
      <w:sz w:val="34"/>
    </w:rPr>
  </w:style>
  <w:style w:type="character" w:styleId="873" w:customStyle="1">
    <w:name w:val="Заголовок 3 Знак"/>
    <w:basedOn w:val="851"/>
    <w:link w:val="844"/>
    <w:uiPriority w:val="9"/>
    <w:rPr>
      <w:rFonts w:ascii="Arial" w:hAnsi="Arial" w:eastAsia="Arial" w:cs="Arial"/>
      <w:sz w:val="30"/>
      <w:szCs w:val="30"/>
    </w:rPr>
  </w:style>
  <w:style w:type="character" w:styleId="874" w:customStyle="1">
    <w:name w:val="Заголовок 4 Знак"/>
    <w:basedOn w:val="851"/>
    <w:link w:val="845"/>
    <w:uiPriority w:val="9"/>
    <w:rPr>
      <w:rFonts w:ascii="Arial" w:hAnsi="Arial" w:eastAsia="Arial" w:cs="Arial"/>
      <w:b/>
      <w:bCs/>
      <w:sz w:val="26"/>
      <w:szCs w:val="26"/>
    </w:rPr>
  </w:style>
  <w:style w:type="character" w:styleId="875" w:customStyle="1">
    <w:name w:val="Заголовок 5 Знак"/>
    <w:basedOn w:val="851"/>
    <w:link w:val="846"/>
    <w:uiPriority w:val="9"/>
    <w:rPr>
      <w:rFonts w:ascii="Arial" w:hAnsi="Arial" w:eastAsia="Arial" w:cs="Arial"/>
      <w:b/>
      <w:bCs/>
      <w:sz w:val="24"/>
      <w:szCs w:val="24"/>
    </w:rPr>
  </w:style>
  <w:style w:type="character" w:styleId="876" w:customStyle="1">
    <w:name w:val="Заголовок 6 Знак"/>
    <w:basedOn w:val="851"/>
    <w:link w:val="847"/>
    <w:uiPriority w:val="9"/>
    <w:rPr>
      <w:rFonts w:ascii="Arial" w:hAnsi="Arial" w:eastAsia="Arial" w:cs="Arial"/>
      <w:b/>
      <w:bCs/>
      <w:sz w:val="22"/>
      <w:szCs w:val="22"/>
    </w:rPr>
  </w:style>
  <w:style w:type="character" w:styleId="877" w:customStyle="1">
    <w:name w:val="Заголовок 7 Знак"/>
    <w:basedOn w:val="851"/>
    <w:link w:val="8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78" w:customStyle="1">
    <w:name w:val="Заголовок 8 Знак"/>
    <w:basedOn w:val="851"/>
    <w:link w:val="849"/>
    <w:uiPriority w:val="9"/>
    <w:rPr>
      <w:rFonts w:ascii="Arial" w:hAnsi="Arial" w:eastAsia="Arial" w:cs="Arial"/>
      <w:i/>
      <w:iCs/>
      <w:sz w:val="22"/>
      <w:szCs w:val="22"/>
    </w:rPr>
  </w:style>
  <w:style w:type="character" w:styleId="879" w:customStyle="1">
    <w:name w:val="Заголовок 9 Знак"/>
    <w:basedOn w:val="851"/>
    <w:link w:val="850"/>
    <w:uiPriority w:val="9"/>
    <w:rPr>
      <w:rFonts w:ascii="Arial" w:hAnsi="Arial" w:eastAsia="Arial" w:cs="Arial"/>
      <w:i/>
      <w:iCs/>
      <w:sz w:val="21"/>
      <w:szCs w:val="21"/>
    </w:rPr>
  </w:style>
  <w:style w:type="paragraph" w:styleId="880">
    <w:name w:val="Title"/>
    <w:basedOn w:val="841"/>
    <w:next w:val="841"/>
    <w:link w:val="8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1" w:customStyle="1">
    <w:name w:val="Заголовок Знак"/>
    <w:basedOn w:val="851"/>
    <w:link w:val="880"/>
    <w:uiPriority w:val="10"/>
    <w:rPr>
      <w:sz w:val="48"/>
      <w:szCs w:val="48"/>
    </w:rPr>
  </w:style>
  <w:style w:type="paragraph" w:styleId="882">
    <w:name w:val="Subtitle"/>
    <w:basedOn w:val="841"/>
    <w:next w:val="841"/>
    <w:link w:val="883"/>
    <w:uiPriority w:val="11"/>
    <w:qFormat/>
    <w:pPr>
      <w:spacing w:before="200" w:after="200"/>
    </w:pPr>
    <w:rPr>
      <w:sz w:val="24"/>
      <w:szCs w:val="24"/>
    </w:rPr>
  </w:style>
  <w:style w:type="character" w:styleId="883" w:customStyle="1">
    <w:name w:val="Подзаголовок Знак"/>
    <w:basedOn w:val="851"/>
    <w:link w:val="882"/>
    <w:uiPriority w:val="11"/>
    <w:rPr>
      <w:sz w:val="24"/>
      <w:szCs w:val="24"/>
    </w:rPr>
  </w:style>
  <w:style w:type="paragraph" w:styleId="884">
    <w:name w:val="Quote"/>
    <w:basedOn w:val="841"/>
    <w:next w:val="841"/>
    <w:link w:val="885"/>
    <w:uiPriority w:val="29"/>
    <w:qFormat/>
    <w:pPr>
      <w:ind w:left="720" w:right="720"/>
    </w:pPr>
    <w:rPr>
      <w:i/>
    </w:rPr>
  </w:style>
  <w:style w:type="character" w:styleId="885" w:customStyle="1">
    <w:name w:val="Цитата 2 Знак"/>
    <w:link w:val="884"/>
    <w:uiPriority w:val="29"/>
    <w:rPr>
      <w:i/>
    </w:rPr>
  </w:style>
  <w:style w:type="paragraph" w:styleId="886">
    <w:name w:val="Intense Quote"/>
    <w:basedOn w:val="841"/>
    <w:next w:val="841"/>
    <w:link w:val="88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7" w:customStyle="1">
    <w:name w:val="Выделенная цитата Знак"/>
    <w:link w:val="886"/>
    <w:uiPriority w:val="30"/>
    <w:rPr>
      <w:i/>
    </w:rPr>
  </w:style>
  <w:style w:type="paragraph" w:styleId="888">
    <w:name w:val="Header"/>
    <w:basedOn w:val="841"/>
    <w:link w:val="88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89" w:customStyle="1">
    <w:name w:val="Верхний колонтитул Знак"/>
    <w:basedOn w:val="851"/>
    <w:link w:val="888"/>
    <w:uiPriority w:val="99"/>
  </w:style>
  <w:style w:type="paragraph" w:styleId="890">
    <w:name w:val="Footer"/>
    <w:basedOn w:val="841"/>
    <w:link w:val="89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91" w:customStyle="1">
    <w:name w:val="Footer Char"/>
    <w:basedOn w:val="851"/>
    <w:uiPriority w:val="99"/>
  </w:style>
  <w:style w:type="paragraph" w:styleId="892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3" w:customStyle="1">
    <w:name w:val="Нижний колонтитул Знак"/>
    <w:link w:val="890"/>
    <w:uiPriority w:val="99"/>
  </w:style>
  <w:style w:type="table" w:styleId="894" w:customStyle="1">
    <w:name w:val="Table Grid Light"/>
    <w:basedOn w:val="8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95">
    <w:name w:val="Plain Table 1"/>
    <w:basedOn w:val="85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6">
    <w:name w:val="Plain Table 2"/>
    <w:basedOn w:val="85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7">
    <w:name w:val="Plain Table 3"/>
    <w:basedOn w:val="8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8">
    <w:name w:val="Plain Table 4"/>
    <w:basedOn w:val="8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Plain Table 5"/>
    <w:basedOn w:val="85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0">
    <w:name w:val="Grid Table 1 Light"/>
    <w:basedOn w:val="85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Grid Table 1 Light - Accent 1"/>
    <w:basedOn w:val="85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Grid Table 1 Light - Accent 2"/>
    <w:basedOn w:val="85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Grid Table 1 Light - Accent 3"/>
    <w:basedOn w:val="85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Grid Table 1 Light - Accent 4"/>
    <w:basedOn w:val="85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Grid Table 1 Light - Accent 5"/>
    <w:basedOn w:val="85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Grid Table 1 Light - Accent 6"/>
    <w:basedOn w:val="85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2"/>
    <w:basedOn w:val="8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Grid Table 2 - Accent 1"/>
    <w:basedOn w:val="85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Grid Table 2 - Accent 2"/>
    <w:basedOn w:val="85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Grid Table 2 - Accent 3"/>
    <w:basedOn w:val="85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Grid Table 2 - Accent 4"/>
    <w:basedOn w:val="85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Grid Table 2 - Accent 5"/>
    <w:basedOn w:val="85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Grid Table 2 - Accent 6"/>
    <w:basedOn w:val="85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"/>
    <w:basedOn w:val="85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 w:customStyle="1">
    <w:name w:val="Grid Table 3 - Accent 1"/>
    <w:basedOn w:val="85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 w:customStyle="1">
    <w:name w:val="Grid Table 3 - Accent 2"/>
    <w:basedOn w:val="85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 w:customStyle="1">
    <w:name w:val="Grid Table 3 - Accent 3"/>
    <w:basedOn w:val="85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 w:customStyle="1">
    <w:name w:val="Grid Table 3 - Accent 4"/>
    <w:basedOn w:val="85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 w:customStyle="1">
    <w:name w:val="Grid Table 3 - Accent 5"/>
    <w:basedOn w:val="85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 w:customStyle="1">
    <w:name w:val="Grid Table 3 - Accent 6"/>
    <w:basedOn w:val="85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4"/>
    <w:basedOn w:val="85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2" w:customStyle="1">
    <w:name w:val="Grid Table 4 - Accent 1"/>
    <w:basedOn w:val="85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23" w:customStyle="1">
    <w:name w:val="Grid Table 4 - Accent 2"/>
    <w:basedOn w:val="85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24" w:customStyle="1">
    <w:name w:val="Grid Table 4 - Accent 3"/>
    <w:basedOn w:val="85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25" w:customStyle="1">
    <w:name w:val="Grid Table 4 - Accent 4"/>
    <w:basedOn w:val="85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26" w:customStyle="1">
    <w:name w:val="Grid Table 4 - Accent 5"/>
    <w:basedOn w:val="85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27" w:customStyle="1">
    <w:name w:val="Grid Table 4 - Accent 6"/>
    <w:basedOn w:val="85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28">
    <w:name w:val="Grid Table 5 Dark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29" w:customStyle="1">
    <w:name w:val="Grid Table 5 Dark- Accent 1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30" w:customStyle="1">
    <w:name w:val="Grid Table 5 Dark - Accent 2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31" w:customStyle="1">
    <w:name w:val="Grid Table 5 Dark - Accent 3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32" w:customStyle="1">
    <w:name w:val="Grid Table 5 Dark- Accent 4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33" w:customStyle="1">
    <w:name w:val="Grid Table 5 Dark - Accent 5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34" w:customStyle="1">
    <w:name w:val="Grid Table 5 Dark - Accent 6"/>
    <w:basedOn w:val="85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35">
    <w:name w:val="Grid Table 6 Colorful"/>
    <w:basedOn w:val="85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36" w:customStyle="1">
    <w:name w:val="Grid Table 6 Colorful - Accent 1"/>
    <w:basedOn w:val="85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37" w:customStyle="1">
    <w:name w:val="Grid Table 6 Colorful - Accent 2"/>
    <w:basedOn w:val="85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38" w:customStyle="1">
    <w:name w:val="Grid Table 6 Colorful - Accent 3"/>
    <w:basedOn w:val="85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39" w:customStyle="1">
    <w:name w:val="Grid Table 6 Colorful - Accent 4"/>
    <w:basedOn w:val="85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40" w:customStyle="1">
    <w:name w:val="Grid Table 6 Colorful - Accent 5"/>
    <w:basedOn w:val="85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1" w:customStyle="1">
    <w:name w:val="Grid Table 6 Colorful - Accent 6"/>
    <w:basedOn w:val="85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42">
    <w:name w:val="Grid Table 7 Colorful"/>
    <w:basedOn w:val="85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 w:customStyle="1">
    <w:name w:val="Grid Table 7 Colorful - Accent 1"/>
    <w:basedOn w:val="85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 w:customStyle="1">
    <w:name w:val="Grid Table 7 Colorful - Accent 2"/>
    <w:basedOn w:val="85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 w:customStyle="1">
    <w:name w:val="Grid Table 7 Colorful - Accent 3"/>
    <w:basedOn w:val="85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 w:customStyle="1">
    <w:name w:val="Grid Table 7 Colorful - Accent 4"/>
    <w:basedOn w:val="85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Grid Table 7 Colorful - Accent 5"/>
    <w:basedOn w:val="85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Grid Table 7 Colorful - Accent 6"/>
    <w:basedOn w:val="85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"/>
    <w:basedOn w:val="85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1 Light - Accent 1"/>
    <w:basedOn w:val="85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1 Light - Accent 2"/>
    <w:basedOn w:val="85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1 Light - Accent 3"/>
    <w:basedOn w:val="85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st Table 1 Light - Accent 4"/>
    <w:basedOn w:val="85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 w:customStyle="1">
    <w:name w:val="List Table 1 Light - Accent 5"/>
    <w:basedOn w:val="85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 w:customStyle="1">
    <w:name w:val="List Table 1 Light - Accent 6"/>
    <w:basedOn w:val="85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2"/>
    <w:basedOn w:val="85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57" w:customStyle="1">
    <w:name w:val="List Table 2 - Accent 1"/>
    <w:basedOn w:val="85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58" w:customStyle="1">
    <w:name w:val="List Table 2 - Accent 2"/>
    <w:basedOn w:val="85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59" w:customStyle="1">
    <w:name w:val="List Table 2 - Accent 3"/>
    <w:basedOn w:val="85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60" w:customStyle="1">
    <w:name w:val="List Table 2 - Accent 4"/>
    <w:basedOn w:val="85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61" w:customStyle="1">
    <w:name w:val="List Table 2 - Accent 5"/>
    <w:basedOn w:val="85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62" w:customStyle="1">
    <w:name w:val="List Table 2 - Accent 6"/>
    <w:basedOn w:val="85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63">
    <w:name w:val="List Table 3"/>
    <w:basedOn w:val="8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 w:customStyle="1">
    <w:name w:val="List Table 3 - Accent 1"/>
    <w:basedOn w:val="85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 w:customStyle="1">
    <w:name w:val="List Table 3 - Accent 2"/>
    <w:basedOn w:val="85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 w:customStyle="1">
    <w:name w:val="List Table 3 - Accent 3"/>
    <w:basedOn w:val="85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 w:customStyle="1">
    <w:name w:val="List Table 3 - Accent 4"/>
    <w:basedOn w:val="85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 w:customStyle="1">
    <w:name w:val="List Table 3 - Accent 5"/>
    <w:basedOn w:val="85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 w:customStyle="1">
    <w:name w:val="List Table 3 - Accent 6"/>
    <w:basedOn w:val="85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"/>
    <w:basedOn w:val="85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 w:customStyle="1">
    <w:name w:val="List Table 4 - Accent 1"/>
    <w:basedOn w:val="85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 w:customStyle="1">
    <w:name w:val="List Table 4 - Accent 2"/>
    <w:basedOn w:val="85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 w:customStyle="1">
    <w:name w:val="List Table 4 - Accent 3"/>
    <w:basedOn w:val="85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 w:customStyle="1">
    <w:name w:val="List Table 4 - Accent 4"/>
    <w:basedOn w:val="85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 w:customStyle="1">
    <w:name w:val="List Table 4 - Accent 5"/>
    <w:basedOn w:val="85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 w:customStyle="1">
    <w:name w:val="List Table 4 - Accent 6"/>
    <w:basedOn w:val="85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5 Dark"/>
    <w:basedOn w:val="85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8" w:customStyle="1">
    <w:name w:val="List Table 5 Dark - Accent 1"/>
    <w:basedOn w:val="85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79" w:customStyle="1">
    <w:name w:val="List Table 5 Dark - Accent 2"/>
    <w:basedOn w:val="85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0" w:customStyle="1">
    <w:name w:val="List Table 5 Dark - Accent 3"/>
    <w:basedOn w:val="85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1" w:customStyle="1">
    <w:name w:val="List Table 5 Dark - Accent 4"/>
    <w:basedOn w:val="85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2" w:customStyle="1">
    <w:name w:val="List Table 5 Dark - Accent 5"/>
    <w:basedOn w:val="85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3" w:customStyle="1">
    <w:name w:val="List Table 5 Dark - Accent 6"/>
    <w:basedOn w:val="85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84">
    <w:name w:val="List Table 6 Colorful"/>
    <w:basedOn w:val="85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85" w:customStyle="1">
    <w:name w:val="List Table 6 Colorful - Accent 1"/>
    <w:basedOn w:val="85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86" w:customStyle="1">
    <w:name w:val="List Table 6 Colorful - Accent 2"/>
    <w:basedOn w:val="85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87" w:customStyle="1">
    <w:name w:val="List Table 6 Colorful - Accent 3"/>
    <w:basedOn w:val="85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88" w:customStyle="1">
    <w:name w:val="List Table 6 Colorful - Accent 4"/>
    <w:basedOn w:val="85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89" w:customStyle="1">
    <w:name w:val="List Table 6 Colorful - Accent 5"/>
    <w:basedOn w:val="85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90" w:customStyle="1">
    <w:name w:val="List Table 6 Colorful - Accent 6"/>
    <w:basedOn w:val="85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91">
    <w:name w:val="List Table 7 Colorful"/>
    <w:basedOn w:val="85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List Table 7 Colorful - Accent 1"/>
    <w:basedOn w:val="85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List Table 7 Colorful - Accent 2"/>
    <w:basedOn w:val="85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List Table 7 Colorful - Accent 3"/>
    <w:basedOn w:val="85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List Table 7 Colorful - Accent 4"/>
    <w:basedOn w:val="85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List Table 7 Colorful - Accent 5"/>
    <w:basedOn w:val="85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List Table 7 Colorful - Accent 6"/>
    <w:basedOn w:val="85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 w:customStyle="1">
    <w:name w:val="Lined - Accent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9" w:customStyle="1">
    <w:name w:val="Lined - Accent 1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0" w:customStyle="1">
    <w:name w:val="Lined - Accent 2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1" w:customStyle="1">
    <w:name w:val="Lined - Accent 3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2" w:customStyle="1">
    <w:name w:val="Lined - Accent 4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03" w:customStyle="1">
    <w:name w:val="Lined - Accent 5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04" w:customStyle="1">
    <w:name w:val="Lined - Accent 6"/>
    <w:basedOn w:val="85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05" w:customStyle="1">
    <w:name w:val="Bordered &amp; Lined - Accent"/>
    <w:basedOn w:val="85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06" w:customStyle="1">
    <w:name w:val="Bordered &amp; Lined - Accent 1"/>
    <w:basedOn w:val="85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07" w:customStyle="1">
    <w:name w:val="Bordered &amp; Lined - Accent 2"/>
    <w:basedOn w:val="85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08" w:customStyle="1">
    <w:name w:val="Bordered &amp; Lined - Accent 3"/>
    <w:basedOn w:val="85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09" w:customStyle="1">
    <w:name w:val="Bordered &amp; Lined - Accent 4"/>
    <w:basedOn w:val="85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10" w:customStyle="1">
    <w:name w:val="Bordered &amp; Lined - Accent 5"/>
    <w:basedOn w:val="85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11" w:customStyle="1">
    <w:name w:val="Bordered &amp; Lined - Accent 6"/>
    <w:basedOn w:val="85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12" w:customStyle="1">
    <w:name w:val="Bordered"/>
    <w:basedOn w:val="85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13" w:customStyle="1">
    <w:name w:val="Bordered - Accent 1"/>
    <w:basedOn w:val="85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14" w:customStyle="1">
    <w:name w:val="Bordered - Accent 2"/>
    <w:basedOn w:val="85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15" w:customStyle="1">
    <w:name w:val="Bordered - Accent 3"/>
    <w:basedOn w:val="85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16" w:customStyle="1">
    <w:name w:val="Bordered - Accent 4"/>
    <w:basedOn w:val="85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17" w:customStyle="1">
    <w:name w:val="Bordered - Accent 5"/>
    <w:basedOn w:val="85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18" w:customStyle="1">
    <w:name w:val="Bordered - Accent 6"/>
    <w:basedOn w:val="85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019">
    <w:name w:val="footnote text"/>
    <w:basedOn w:val="841"/>
    <w:link w:val="1020"/>
    <w:uiPriority w:val="99"/>
    <w:semiHidden/>
    <w:unhideWhenUsed/>
    <w:pPr>
      <w:spacing w:after="40"/>
    </w:pPr>
    <w:rPr>
      <w:sz w:val="18"/>
    </w:rPr>
  </w:style>
  <w:style w:type="character" w:styleId="1020" w:customStyle="1">
    <w:name w:val="Текст сноски Знак"/>
    <w:link w:val="1019"/>
    <w:uiPriority w:val="99"/>
    <w:rPr>
      <w:sz w:val="18"/>
    </w:rPr>
  </w:style>
  <w:style w:type="character" w:styleId="1021">
    <w:name w:val="footnote reference"/>
    <w:basedOn w:val="851"/>
    <w:uiPriority w:val="99"/>
    <w:unhideWhenUsed/>
    <w:rPr>
      <w:vertAlign w:val="superscript"/>
    </w:rPr>
  </w:style>
  <w:style w:type="paragraph" w:styleId="1022">
    <w:name w:val="endnote text"/>
    <w:basedOn w:val="841"/>
    <w:link w:val="1023"/>
    <w:uiPriority w:val="99"/>
    <w:semiHidden/>
    <w:unhideWhenUsed/>
  </w:style>
  <w:style w:type="character" w:styleId="1023" w:customStyle="1">
    <w:name w:val="Текст концевой сноски Знак"/>
    <w:link w:val="1022"/>
    <w:uiPriority w:val="99"/>
    <w:rPr>
      <w:sz w:val="20"/>
    </w:rPr>
  </w:style>
  <w:style w:type="character" w:styleId="1024">
    <w:name w:val="endnote reference"/>
    <w:basedOn w:val="851"/>
    <w:uiPriority w:val="99"/>
    <w:semiHidden/>
    <w:unhideWhenUsed/>
    <w:rPr>
      <w:vertAlign w:val="superscript"/>
    </w:rPr>
  </w:style>
  <w:style w:type="paragraph" w:styleId="1025">
    <w:name w:val="toc 1"/>
    <w:basedOn w:val="841"/>
    <w:next w:val="841"/>
    <w:uiPriority w:val="39"/>
    <w:unhideWhenUsed/>
    <w:pPr>
      <w:spacing w:after="57"/>
    </w:pPr>
  </w:style>
  <w:style w:type="paragraph" w:styleId="1026">
    <w:name w:val="toc 2"/>
    <w:basedOn w:val="841"/>
    <w:next w:val="841"/>
    <w:uiPriority w:val="39"/>
    <w:unhideWhenUsed/>
    <w:pPr>
      <w:ind w:left="283"/>
      <w:spacing w:after="57"/>
    </w:pPr>
  </w:style>
  <w:style w:type="paragraph" w:styleId="1027">
    <w:name w:val="toc 3"/>
    <w:basedOn w:val="841"/>
    <w:next w:val="841"/>
    <w:uiPriority w:val="39"/>
    <w:unhideWhenUsed/>
    <w:pPr>
      <w:ind w:left="567"/>
      <w:spacing w:after="57"/>
    </w:pPr>
  </w:style>
  <w:style w:type="paragraph" w:styleId="1028">
    <w:name w:val="toc 4"/>
    <w:basedOn w:val="841"/>
    <w:next w:val="841"/>
    <w:uiPriority w:val="39"/>
    <w:unhideWhenUsed/>
    <w:pPr>
      <w:ind w:left="850"/>
      <w:spacing w:after="57"/>
    </w:pPr>
  </w:style>
  <w:style w:type="paragraph" w:styleId="1029">
    <w:name w:val="toc 5"/>
    <w:basedOn w:val="841"/>
    <w:next w:val="841"/>
    <w:uiPriority w:val="39"/>
    <w:unhideWhenUsed/>
    <w:pPr>
      <w:ind w:left="1134"/>
      <w:spacing w:after="57"/>
    </w:pPr>
  </w:style>
  <w:style w:type="paragraph" w:styleId="1030">
    <w:name w:val="toc 6"/>
    <w:basedOn w:val="841"/>
    <w:next w:val="841"/>
    <w:uiPriority w:val="39"/>
    <w:unhideWhenUsed/>
    <w:pPr>
      <w:ind w:left="1417"/>
      <w:spacing w:after="57"/>
    </w:pPr>
  </w:style>
  <w:style w:type="paragraph" w:styleId="1031">
    <w:name w:val="toc 7"/>
    <w:basedOn w:val="841"/>
    <w:next w:val="841"/>
    <w:uiPriority w:val="39"/>
    <w:unhideWhenUsed/>
    <w:pPr>
      <w:ind w:left="1701"/>
      <w:spacing w:after="57"/>
    </w:pPr>
  </w:style>
  <w:style w:type="paragraph" w:styleId="1032">
    <w:name w:val="toc 8"/>
    <w:basedOn w:val="841"/>
    <w:next w:val="841"/>
    <w:uiPriority w:val="39"/>
    <w:unhideWhenUsed/>
    <w:pPr>
      <w:ind w:left="1984"/>
      <w:spacing w:after="57"/>
    </w:pPr>
  </w:style>
  <w:style w:type="paragraph" w:styleId="1033">
    <w:name w:val="toc 9"/>
    <w:basedOn w:val="841"/>
    <w:next w:val="841"/>
    <w:uiPriority w:val="39"/>
    <w:unhideWhenUsed/>
    <w:pPr>
      <w:ind w:left="2268"/>
      <w:spacing w:after="57"/>
    </w:pPr>
  </w:style>
  <w:style w:type="paragraph" w:styleId="1034">
    <w:name w:val="TOC Heading"/>
    <w:uiPriority w:val="39"/>
    <w:unhideWhenUsed/>
  </w:style>
  <w:style w:type="paragraph" w:styleId="1035">
    <w:name w:val="table of figures"/>
    <w:basedOn w:val="841"/>
    <w:next w:val="841"/>
    <w:uiPriority w:val="99"/>
    <w:unhideWhenUsed/>
  </w:style>
  <w:style w:type="paragraph" w:styleId="1036" w:customStyle="1">
    <w:name w:val="Обычный1"/>
    <w:pPr>
      <w:ind w:left="40" w:firstLine="720"/>
      <w:jc w:val="both"/>
      <w:spacing w:line="320" w:lineRule="auto"/>
      <w:widowControl w:val="off"/>
    </w:pPr>
    <w:rPr>
      <w:rFonts w:ascii="Courier New" w:hAnsi="Courier New"/>
      <w:sz w:val="18"/>
    </w:rPr>
  </w:style>
  <w:style w:type="paragraph" w:styleId="1037" w:customStyle="1">
    <w:name w:val="FR1"/>
    <w:pPr>
      <w:ind w:left="320" w:hanging="340"/>
      <w:spacing w:line="300" w:lineRule="auto"/>
      <w:widowControl w:val="off"/>
    </w:pPr>
    <w:rPr>
      <w:i/>
      <w:sz w:val="22"/>
    </w:rPr>
  </w:style>
  <w:style w:type="paragraph" w:styleId="1038">
    <w:name w:val="Body Text"/>
    <w:basedOn w:val="841"/>
    <w:pPr>
      <w:jc w:val="both"/>
    </w:pPr>
    <w:rPr>
      <w:sz w:val="24"/>
    </w:rPr>
  </w:style>
  <w:style w:type="paragraph" w:styleId="1039" w:customStyle="1">
    <w:name w:val="ConsTitle"/>
    <w:pPr>
      <w:widowControl w:val="off"/>
    </w:pPr>
    <w:rPr>
      <w:rFonts w:ascii="Arial" w:hAnsi="Arial" w:cs="Arial"/>
      <w:b/>
      <w:bCs/>
      <w:sz w:val="16"/>
      <w:szCs w:val="16"/>
    </w:rPr>
  </w:style>
  <w:style w:type="paragraph" w:styleId="1040" w:customStyle="1">
    <w:name w:val="ConsNonformat"/>
    <w:pPr>
      <w:widowControl w:val="off"/>
    </w:pPr>
    <w:rPr>
      <w:rFonts w:ascii="Courier New" w:hAnsi="Courier New" w:cs="Courier New"/>
    </w:rPr>
  </w:style>
  <w:style w:type="paragraph" w:styleId="1041" w:customStyle="1">
    <w:name w:val="ConsCell"/>
    <w:pPr>
      <w:widowControl w:val="off"/>
    </w:pPr>
    <w:rPr>
      <w:rFonts w:ascii="Arial" w:hAnsi="Arial" w:cs="Arial"/>
    </w:rPr>
  </w:style>
  <w:style w:type="paragraph" w:styleId="1042" w:customStyle="1">
    <w:name w:val="ConsNormal"/>
    <w:pPr>
      <w:ind w:firstLine="720"/>
      <w:widowControl w:val="off"/>
    </w:pPr>
    <w:rPr>
      <w:rFonts w:ascii="Arial" w:hAnsi="Arial" w:cs="Arial"/>
    </w:rPr>
  </w:style>
  <w:style w:type="character" w:styleId="1043">
    <w:name w:val="Hyperlink"/>
    <w:rPr>
      <w:color w:val="0000ff"/>
      <w:u w:val="single"/>
    </w:rPr>
  </w:style>
  <w:style w:type="paragraph" w:styleId="1044">
    <w:name w:val="Body Text 2"/>
    <w:basedOn w:val="841"/>
    <w:pPr>
      <w:spacing w:after="120" w:line="480" w:lineRule="auto"/>
    </w:pPr>
  </w:style>
  <w:style w:type="paragraph" w:styleId="1045">
    <w:name w:val="Body Text Indent 2"/>
    <w:basedOn w:val="841"/>
    <w:pPr>
      <w:ind w:left="283"/>
      <w:spacing w:after="120" w:line="480" w:lineRule="auto"/>
    </w:pPr>
  </w:style>
  <w:style w:type="paragraph" w:styleId="1046">
    <w:name w:val="Balloon Text"/>
    <w:basedOn w:val="841"/>
    <w:semiHidden/>
    <w:rPr>
      <w:rFonts w:ascii="Tahoma" w:hAnsi="Tahoma" w:cs="Tahoma"/>
      <w:sz w:val="16"/>
      <w:szCs w:val="16"/>
    </w:rPr>
  </w:style>
  <w:style w:type="paragraph" w:styleId="1047">
    <w:name w:val="List Paragraph"/>
    <w:basedOn w:val="84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1048">
    <w:name w:val="Body Text Indent"/>
    <w:basedOn w:val="841"/>
    <w:link w:val="1049"/>
    <w:pPr>
      <w:ind w:left="283"/>
      <w:spacing w:after="120" w:line="276" w:lineRule="auto"/>
    </w:pPr>
    <w:rPr>
      <w:rFonts w:ascii="Calibri" w:hAnsi="Calibri" w:eastAsia="Calibri"/>
      <w:sz w:val="22"/>
      <w:szCs w:val="22"/>
    </w:rPr>
  </w:style>
  <w:style w:type="character" w:styleId="1049" w:customStyle="1">
    <w:name w:val="Основной текст с отступом Знак"/>
    <w:link w:val="1048"/>
    <w:rPr>
      <w:rFonts w:ascii="Calibri" w:hAnsi="Calibri" w:eastAsia="Calibri"/>
      <w:sz w:val="22"/>
      <w:szCs w:val="22"/>
      <w:lang w:val="ru-RU" w:eastAsia="ru-RU" w:bidi="ar-SA"/>
    </w:rPr>
  </w:style>
  <w:style w:type="table" w:styleId="1050">
    <w:name w:val="Table Grid"/>
    <w:basedOn w:val="85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51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052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04C5-EA9B-4925-9165-A74FFF1A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OTMU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revision>30</cp:revision>
  <dcterms:created xsi:type="dcterms:W3CDTF">2023-09-01T11:42:00Z</dcterms:created>
  <dcterms:modified xsi:type="dcterms:W3CDTF">2025-02-19T05:56:54Z</dcterms:modified>
</cp:coreProperties>
</file>